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327EAC6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943FDD" w:rsidRPr="00943FDD">
              <w:rPr>
                <w:b/>
                <w:iCs/>
              </w:rPr>
              <w:t>01000340186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D1965EE" w:rsidR="006F7431" w:rsidRPr="00343740" w:rsidRDefault="00943FDD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Ziedoņdārza</w:t>
            </w:r>
            <w:proofErr w:type="spellEnd"/>
            <w:r w:rsidR="00CD371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A31EEE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62717D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7D3822F" w:rsidR="004A5C06" w:rsidRPr="00F51C8F" w:rsidRDefault="00943FDD" w:rsidP="00943FD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Ziedoņdārzs</w:t>
            </w:r>
            <w:proofErr w:type="spellEnd"/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62717D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F495E47" w:rsidR="004A5C06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87500" w:rsidRPr="00F51C8F" w14:paraId="6E9DB11A" w14:textId="77777777" w:rsidTr="0062717D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0A8DC92" w:rsidR="00487500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A5C06" w:rsidRPr="00F51C8F" w14:paraId="36A1D09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0B62D84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proofErr w:type="spellStart"/>
            <w:r w:rsidR="00943FDD">
              <w:rPr>
                <w:sz w:val="24"/>
                <w:szCs w:val="24"/>
              </w:rPr>
              <w:t>Ziedoņdārza</w:t>
            </w:r>
            <w:proofErr w:type="spellEnd"/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6CFDB4D3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3BD3816D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28F49AEA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18C22781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1F7FBF5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CEF4EE4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A31EE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A31EE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A31EEE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62717D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43ED052F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50A18D8" w:rsidR="00085BFA" w:rsidRPr="00A769B9" w:rsidRDefault="00A31EE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01.0</w:t>
            </w:r>
            <w:r w:rsidR="006E6EB6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19BA3B1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31EEE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6E6EB6">
              <w:rPr>
                <w:sz w:val="24"/>
                <w:szCs w:val="24"/>
                <w:u w:val="single"/>
              </w:rPr>
              <w:t>2</w:t>
            </w:r>
            <w:r w:rsidR="00A31EEE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6E6EB6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A31EEE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2717D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331E81A" w:rsidR="004A5C06" w:rsidRPr="008A1C27" w:rsidRDefault="00AB5E48" w:rsidP="008A1C27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31EEE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6E6EB6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6E6EB6">
              <w:rPr>
                <w:b/>
                <w:bCs/>
                <w:sz w:val="24"/>
                <w:szCs w:val="24"/>
                <w:u w:val="single"/>
              </w:rPr>
              <w:t>aprīlim plkst.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A31EEE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8A1C27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62717D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62717D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62717D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6E6EB6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2717D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E6EB6"/>
    <w:rsid w:val="006F7431"/>
    <w:rsid w:val="00704BFE"/>
    <w:rsid w:val="007627A6"/>
    <w:rsid w:val="00770F30"/>
    <w:rsid w:val="00772A9E"/>
    <w:rsid w:val="007A34BA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1C27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43FDD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1EEE"/>
    <w:rsid w:val="00A34B65"/>
    <w:rsid w:val="00A60272"/>
    <w:rsid w:val="00A769B9"/>
    <w:rsid w:val="00A978CB"/>
    <w:rsid w:val="00AA6360"/>
    <w:rsid w:val="00AB5E48"/>
    <w:rsid w:val="00AC208B"/>
    <w:rsid w:val="00AC27F7"/>
    <w:rsid w:val="00AC4F6A"/>
    <w:rsid w:val="00B1302A"/>
    <w:rsid w:val="00B507D7"/>
    <w:rsid w:val="00B81A2E"/>
    <w:rsid w:val="00B90DC3"/>
    <w:rsid w:val="00B94CBA"/>
    <w:rsid w:val="00BD0701"/>
    <w:rsid w:val="00BD651C"/>
    <w:rsid w:val="00C13AEF"/>
    <w:rsid w:val="00C726D0"/>
    <w:rsid w:val="00C9377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26156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64D8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BD651C"/>
    <w:rsid w:val="00E26156"/>
    <w:rsid w:val="00EB5647"/>
    <w:rsid w:val="00EF22D2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2025-04-08T11:53:00Z</dcterms:created>
  <dcterms:modified xsi:type="dcterms:W3CDTF">2025-04-08T11:53:00Z</dcterms:modified>
</cp:coreProperties>
</file>